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9D0" w:rsidRPr="00CF6174" w:rsidRDefault="000659D0" w:rsidP="000659D0">
      <w:pPr>
        <w:shd w:val="clear" w:color="auto" w:fill="EEF9F9"/>
        <w:spacing w:after="120" w:line="312" w:lineRule="atLeast"/>
        <w:outlineLvl w:val="0"/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</w:pPr>
      <w:r w:rsidRPr="000659D0">
        <w:rPr>
          <w:rFonts w:ascii="Trebuchet MS" w:eastAsia="Times New Roman" w:hAnsi="Trebuchet MS" w:cs="Times New Roman"/>
          <w:color w:val="000000"/>
          <w:kern w:val="36"/>
          <w:sz w:val="30"/>
          <w:szCs w:val="30"/>
          <w:lang w:eastAsia="ru-RU"/>
        </w:rPr>
        <w:t>Отчет аудиторской о</w:t>
      </w:r>
      <w:r w:rsidRPr="00CF6174"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  <w:t>рганиз</w:t>
      </w:r>
      <w:r w:rsidR="001305FF" w:rsidRPr="00CF6174"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  <w:t>ации о своей деятельности за 2020</w:t>
      </w:r>
      <w:r w:rsidRPr="00CF6174">
        <w:rPr>
          <w:rFonts w:ascii="Trebuchet MS" w:eastAsia="Times New Roman" w:hAnsi="Trebuchet MS" w:cs="Times New Roman"/>
          <w:kern w:val="36"/>
          <w:sz w:val="30"/>
          <w:szCs w:val="30"/>
          <w:lang w:eastAsia="ru-RU"/>
        </w:rPr>
        <w:t>г.</w:t>
      </w:r>
    </w:p>
    <w:p w:rsidR="000659D0" w:rsidRPr="00CF6174" w:rsidRDefault="000659D0" w:rsidP="000659D0">
      <w:pPr>
        <w:shd w:val="clear" w:color="auto" w:fill="EEF9F9"/>
        <w:spacing w:after="120" w:line="312" w:lineRule="atLeast"/>
        <w:jc w:val="center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CF6174">
        <w:rPr>
          <w:rFonts w:ascii="Trebuchet MS" w:eastAsia="Times New Roman" w:hAnsi="Trebuchet MS" w:cs="Times New Roman"/>
          <w:sz w:val="21"/>
          <w:szCs w:val="21"/>
          <w:lang w:eastAsia="ru-RU"/>
        </w:rPr>
        <w:t> </w:t>
      </w:r>
    </w:p>
    <w:p w:rsidR="000659D0" w:rsidRPr="00CF6174" w:rsidRDefault="000659D0" w:rsidP="000659D0">
      <w:pPr>
        <w:shd w:val="clear" w:color="auto" w:fill="EEF9F9"/>
        <w:spacing w:after="120" w:line="312" w:lineRule="atLeas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CF6174">
        <w:rPr>
          <w:rFonts w:ascii="Trebuchet MS" w:eastAsia="Times New Roman" w:hAnsi="Trebuchet MS" w:cs="Times New Roman"/>
          <w:sz w:val="21"/>
          <w:szCs w:val="21"/>
          <w:lang w:eastAsia="ru-RU"/>
        </w:rPr>
        <w:t>  </w:t>
      </w:r>
    </w:p>
    <w:p w:rsidR="000659D0" w:rsidRPr="00CF6174" w:rsidRDefault="00F508A3" w:rsidP="000659D0">
      <w:pPr>
        <w:shd w:val="clear" w:color="auto" w:fill="EEF9F9"/>
        <w:spacing w:after="120" w:line="312" w:lineRule="atLeast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F6174">
        <w:rPr>
          <w:rFonts w:ascii="Arial" w:eastAsia="Times New Roman" w:hAnsi="Arial" w:cs="Arial"/>
          <w:sz w:val="24"/>
          <w:szCs w:val="24"/>
          <w:lang w:eastAsia="ru-RU"/>
        </w:rPr>
        <w:t>Утвержден Приказом №1/с от 14</w:t>
      </w:r>
      <w:r w:rsidR="000659D0" w:rsidRPr="00CF6174">
        <w:rPr>
          <w:rFonts w:ascii="Arial" w:eastAsia="Times New Roman" w:hAnsi="Arial" w:cs="Arial"/>
          <w:sz w:val="24"/>
          <w:szCs w:val="24"/>
          <w:lang w:eastAsia="ru-RU"/>
        </w:rPr>
        <w:t>.01.20</w:t>
      </w:r>
      <w:r w:rsidRPr="00CF6174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0659D0" w:rsidRPr="00CF6174">
        <w:rPr>
          <w:rFonts w:ascii="Arial" w:eastAsia="Times New Roman" w:hAnsi="Arial" w:cs="Arial"/>
          <w:sz w:val="24"/>
          <w:szCs w:val="24"/>
          <w:lang w:eastAsia="ru-RU"/>
        </w:rPr>
        <w:t>1г.</w:t>
      </w:r>
    </w:p>
    <w:p w:rsidR="000659D0" w:rsidRPr="00CF6174" w:rsidRDefault="000659D0" w:rsidP="000659D0">
      <w:pPr>
        <w:shd w:val="clear" w:color="auto" w:fill="EEF9F9"/>
        <w:spacing w:after="120" w:line="312" w:lineRule="atLeast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F6174">
        <w:rPr>
          <w:rFonts w:ascii="Arial" w:eastAsia="Times New Roman" w:hAnsi="Arial" w:cs="Arial"/>
          <w:sz w:val="24"/>
          <w:szCs w:val="24"/>
          <w:lang w:eastAsia="ru-RU"/>
        </w:rPr>
        <w:t>Генерального директора</w:t>
      </w:r>
    </w:p>
    <w:p w:rsidR="000659D0" w:rsidRPr="00CF6174" w:rsidRDefault="000659D0" w:rsidP="000659D0">
      <w:pPr>
        <w:shd w:val="clear" w:color="auto" w:fill="EEF9F9"/>
        <w:spacing w:after="120" w:line="312" w:lineRule="atLeast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F6174">
        <w:rPr>
          <w:rFonts w:ascii="Arial" w:eastAsia="Times New Roman" w:hAnsi="Arial" w:cs="Arial"/>
          <w:sz w:val="24"/>
          <w:szCs w:val="24"/>
          <w:lang w:eastAsia="ru-RU"/>
        </w:rPr>
        <w:t>ООО «</w:t>
      </w:r>
      <w:proofErr w:type="spellStart"/>
      <w:r w:rsidR="001305FF" w:rsidRPr="00CF6174">
        <w:rPr>
          <w:rFonts w:ascii="Arial" w:eastAsia="Times New Roman" w:hAnsi="Arial" w:cs="Arial"/>
          <w:sz w:val="24"/>
          <w:szCs w:val="24"/>
          <w:lang w:eastAsia="ru-RU"/>
        </w:rPr>
        <w:t>Веритас</w:t>
      </w:r>
      <w:proofErr w:type="spellEnd"/>
      <w:r w:rsidR="001305FF" w:rsidRPr="00CF6174">
        <w:rPr>
          <w:rFonts w:ascii="Arial" w:eastAsia="Times New Roman" w:hAnsi="Arial" w:cs="Arial"/>
          <w:sz w:val="24"/>
          <w:szCs w:val="24"/>
          <w:lang w:eastAsia="ru-RU"/>
        </w:rPr>
        <w:t xml:space="preserve"> Консалтинг</w:t>
      </w:r>
      <w:r w:rsidRPr="00CF6174">
        <w:rPr>
          <w:rFonts w:ascii="Arial" w:eastAsia="Times New Roman" w:hAnsi="Arial" w:cs="Arial"/>
          <w:sz w:val="24"/>
          <w:szCs w:val="24"/>
          <w:lang w:eastAsia="ru-RU"/>
        </w:rPr>
        <w:t>»</w:t>
      </w:r>
    </w:p>
    <w:p w:rsidR="000659D0" w:rsidRPr="00CF6174" w:rsidRDefault="001305FF" w:rsidP="000659D0">
      <w:pPr>
        <w:shd w:val="clear" w:color="auto" w:fill="EEF9F9"/>
        <w:spacing w:after="120" w:line="312" w:lineRule="atLeast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F6174">
        <w:rPr>
          <w:rFonts w:ascii="Arial" w:eastAsia="Times New Roman" w:hAnsi="Arial" w:cs="Arial"/>
          <w:sz w:val="24"/>
          <w:szCs w:val="24"/>
          <w:lang w:eastAsia="ru-RU"/>
        </w:rPr>
        <w:t xml:space="preserve">Евтушенко Ольгой Ивановной </w:t>
      </w:r>
    </w:p>
    <w:p w:rsidR="000659D0" w:rsidRPr="00CF6174" w:rsidRDefault="000659D0" w:rsidP="000659D0">
      <w:pPr>
        <w:shd w:val="clear" w:color="auto" w:fill="EEF9F9"/>
        <w:spacing w:after="120" w:line="312" w:lineRule="atLeast"/>
        <w:jc w:val="righ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CF6174">
        <w:rPr>
          <w:rFonts w:ascii="Trebuchet MS" w:eastAsia="Times New Roman" w:hAnsi="Trebuchet MS" w:cs="Times New Roman"/>
          <w:sz w:val="21"/>
          <w:szCs w:val="21"/>
          <w:lang w:eastAsia="ru-RU"/>
        </w:rPr>
        <w:t> </w:t>
      </w:r>
    </w:p>
    <w:p w:rsidR="000659D0" w:rsidRPr="00CF6174" w:rsidRDefault="000659D0" w:rsidP="000659D0">
      <w:pPr>
        <w:shd w:val="clear" w:color="auto" w:fill="EEF9F9"/>
        <w:spacing w:after="120" w:line="312" w:lineRule="atLeast"/>
        <w:jc w:val="center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CF6174">
        <w:rPr>
          <w:rFonts w:ascii="Trebuchet MS" w:eastAsia="Times New Roman" w:hAnsi="Trebuchet MS" w:cs="Times New Roman"/>
          <w:sz w:val="21"/>
          <w:szCs w:val="21"/>
          <w:lang w:eastAsia="ru-RU"/>
        </w:rPr>
        <w:t>  </w:t>
      </w:r>
    </w:p>
    <w:p w:rsidR="000659D0" w:rsidRPr="00CF6174" w:rsidRDefault="000659D0" w:rsidP="000659D0">
      <w:pPr>
        <w:shd w:val="clear" w:color="auto" w:fill="EEF9F9"/>
        <w:spacing w:after="120" w:line="312" w:lineRule="atLeas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CF6174">
        <w:rPr>
          <w:rFonts w:ascii="Trebuchet MS" w:eastAsia="Times New Roman" w:hAnsi="Trebuchet MS" w:cs="Times New Roman"/>
          <w:sz w:val="21"/>
          <w:szCs w:val="21"/>
          <w:lang w:eastAsia="ru-RU"/>
        </w:rPr>
        <w:t>ООО «</w:t>
      </w:r>
      <w:proofErr w:type="spellStart"/>
      <w:r w:rsidR="001305FF" w:rsidRPr="00CF6174">
        <w:rPr>
          <w:rFonts w:ascii="Trebuchet MS" w:eastAsia="Times New Roman" w:hAnsi="Trebuchet MS" w:cs="Times New Roman"/>
          <w:sz w:val="21"/>
          <w:szCs w:val="21"/>
          <w:lang w:eastAsia="ru-RU"/>
        </w:rPr>
        <w:t>Веритас</w:t>
      </w:r>
      <w:proofErr w:type="spellEnd"/>
      <w:r w:rsidR="001305FF" w:rsidRPr="00CF6174">
        <w:rPr>
          <w:rFonts w:ascii="Trebuchet MS" w:eastAsia="Times New Roman" w:hAnsi="Trebuchet MS" w:cs="Times New Roman"/>
          <w:sz w:val="21"/>
          <w:szCs w:val="21"/>
          <w:lang w:eastAsia="ru-RU"/>
        </w:rPr>
        <w:t xml:space="preserve"> Консалтинг</w:t>
      </w:r>
      <w:r w:rsidRPr="00CF6174">
        <w:rPr>
          <w:rFonts w:ascii="Trebuchet MS" w:eastAsia="Times New Roman" w:hAnsi="Trebuchet MS" w:cs="Times New Roman"/>
          <w:sz w:val="21"/>
          <w:szCs w:val="21"/>
          <w:lang w:eastAsia="ru-RU"/>
        </w:rPr>
        <w:t>» сообщает следующую информацию (Отчет аудиторской организации о своей деятельности за 20</w:t>
      </w:r>
      <w:r w:rsidR="001305FF" w:rsidRPr="00CF6174">
        <w:rPr>
          <w:rFonts w:ascii="Trebuchet MS" w:eastAsia="Times New Roman" w:hAnsi="Trebuchet MS" w:cs="Times New Roman"/>
          <w:sz w:val="21"/>
          <w:szCs w:val="21"/>
          <w:lang w:eastAsia="ru-RU"/>
        </w:rPr>
        <w:t>20</w:t>
      </w:r>
      <w:r w:rsidRPr="00CF6174">
        <w:rPr>
          <w:rFonts w:ascii="Trebuchet MS" w:eastAsia="Times New Roman" w:hAnsi="Trebuchet MS" w:cs="Times New Roman"/>
          <w:sz w:val="21"/>
          <w:szCs w:val="21"/>
          <w:lang w:eastAsia="ru-RU"/>
        </w:rPr>
        <w:t> год). Раскрытие данной информации осуществляется согласно «Рекомендациям аудиторским организациям по раскрытию информации на своем официальном Интернет-сайте», одобренным Советом по аудиторской деятельности 19 июня 2014 года.</w:t>
      </w:r>
    </w:p>
    <w:p w:rsidR="000659D0" w:rsidRPr="00CF6174" w:rsidRDefault="000659D0" w:rsidP="000659D0">
      <w:pPr>
        <w:shd w:val="clear" w:color="auto" w:fill="EEF9F9"/>
        <w:spacing w:after="120" w:line="312" w:lineRule="atLeas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CF6174">
        <w:rPr>
          <w:rFonts w:ascii="Trebuchet MS" w:eastAsia="Times New Roman" w:hAnsi="Trebuchet MS" w:cs="Times New Roman"/>
          <w:sz w:val="21"/>
          <w:szCs w:val="21"/>
          <w:lang w:eastAsia="ru-RU"/>
        </w:rPr>
        <w:t> </w:t>
      </w:r>
    </w:p>
    <w:tbl>
      <w:tblPr>
        <w:tblW w:w="100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408"/>
        <w:gridCol w:w="5642"/>
      </w:tblGrid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jc w:val="center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eastAsia="ru-RU"/>
              </w:rPr>
              <w:t>Раскрываемая информация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jc w:val="center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eastAsia="ru-RU"/>
              </w:rPr>
              <w:t>Содержание раскрываемой информации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Общество с ограниченной ответственностью.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Адрес места нахождения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1305FF" w:rsidRPr="00CF6174" w:rsidRDefault="001305FF" w:rsidP="001305FF">
            <w:pPr>
              <w:widowControl w:val="0"/>
              <w:spacing w:after="0" w:line="248" w:lineRule="exact"/>
              <w:jc w:val="both"/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</w:pPr>
            <w:r w:rsidRPr="00CF6174"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  <w:t>196247, Санкт-Петербург, пр. Ленинский,</w:t>
            </w:r>
          </w:p>
          <w:p w:rsidR="001305FF" w:rsidRPr="00CF6174" w:rsidRDefault="001305FF" w:rsidP="001305FF">
            <w:pPr>
              <w:widowControl w:val="0"/>
              <w:spacing w:after="0" w:line="248" w:lineRule="exact"/>
              <w:jc w:val="both"/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</w:pPr>
            <w:r w:rsidRPr="00CF6174"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  <w:t xml:space="preserve">д.153, </w:t>
            </w:r>
            <w:proofErr w:type="spellStart"/>
            <w:r w:rsidRPr="00CF6174"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  <w:t>пом</w:t>
            </w:r>
            <w:proofErr w:type="spellEnd"/>
            <w:r w:rsidRPr="00CF6174">
              <w:rPr>
                <w:rFonts w:ascii="Arial" w:eastAsia="Times New Roman" w:hAnsi="Arial" w:cs="Arial"/>
                <w:sz w:val="24"/>
                <w:szCs w:val="24"/>
                <w:lang w:eastAsia="ru-RU" w:bidi="ru-RU"/>
              </w:rPr>
              <w:t xml:space="preserve"> 350-н, офис 1109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1305FF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8(812)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457-19-28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val="en-US"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e-mail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1305FF" w:rsidP="00F508A3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val="en-US"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I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nfo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_veritas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val="en-US" w:eastAsia="ru-RU"/>
              </w:rPr>
              <w:t>@mail.ru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Распределение долей уставного капитала между собственниками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F508A3" w:rsidRPr="00CF6174" w:rsidRDefault="00F508A3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У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частник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ами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Общества с ограниченной ответственностью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</w:t>
            </w:r>
            <w:proofErr w:type="spellEnd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являются физические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лиц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а:</w:t>
            </w:r>
          </w:p>
          <w:p w:rsidR="00F508A3" w:rsidRPr="00CF6174" w:rsidRDefault="00F508A3" w:rsidP="00F508A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51% Уставного капитала -</w:t>
            </w:r>
          </w:p>
          <w:p w:rsidR="00F508A3" w:rsidRPr="00CF6174" w:rsidRDefault="00F508A3" w:rsidP="00F508A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Евтушенко Ольга </w:t>
            </w:r>
            <w:proofErr w:type="gramStart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Ивановна  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Квалификационный</w:t>
            </w:r>
            <w:proofErr w:type="gramEnd"/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аттестат аудитора № </w:t>
            </w:r>
            <w:r w:rsidRPr="00CF617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К 022352, от 29.03.2005г, выдан на неограниченный срок;</w:t>
            </w:r>
          </w:p>
          <w:p w:rsidR="00F508A3" w:rsidRPr="00CF6174" w:rsidRDefault="00F508A3" w:rsidP="00F508A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CF617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49% Уставного капитала -</w:t>
            </w:r>
          </w:p>
          <w:p w:rsidR="00F508A3" w:rsidRPr="00CF6174" w:rsidRDefault="00F508A3" w:rsidP="00F508A3">
            <w:pPr>
              <w:shd w:val="clear" w:color="auto" w:fill="FFFFFF"/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CF617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Азизова Екатерина Вячеславовна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F508A3" w:rsidP="00F508A3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Численность аудиторов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</w:t>
            </w:r>
            <w:r w:rsidR="00357055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состоящих в штате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F508A3" w:rsidP="00F508A3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(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четыре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Аттестованные аудиторы, имеющие следующие аттестаты на конец проверяемого периода: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выданные по 31 декабря 2010 г. (вкл.):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F508A3" w:rsidP="00F508A3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(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четыре</w:t>
            </w:r>
            <w:r w:rsidR="000659D0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выданные после 01 января 2011 г.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F508A3" w:rsidP="00F508A3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-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Членство в саморегулируемой организации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</w:t>
            </w:r>
            <w:proofErr w:type="spellEnd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является членом </w:t>
            </w:r>
            <w:r w:rsidR="00F508A3" w:rsidRPr="00CF6174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саморегулируемой организации аудиторов Некоммерческое партнерство «Аудиторская ассоциация «Содружество», ОРНЗ 12006093396</w:t>
            </w: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Участие в российской сети (группе) и международной сети аудиторских организаций</w:t>
            </w:r>
            <w:r w:rsidR="00F508A3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по состоянию</w:t>
            </w:r>
            <w:r w:rsidR="00F508A3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br/>
              <w:t>на 31 декабря 2020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</w:t>
            </w:r>
            <w:proofErr w:type="spellEnd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не входит в состав российской сети (группы) и международной сети аудиторских организаций.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Описание системы корпоративного управления аудиторской организации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 соответствии с Уставом высшим органом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br/>
              <w:t xml:space="preserve">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</w:t>
            </w:r>
            <w:proofErr w:type="spellEnd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является Общее собрание участников. Общее собрание участников принимает свои решения голосованием. 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br/>
              <w:t>Единоличным исполнительным органом является Генеральный директор, который подотчетен Общему собранию участников и избирается на 5 (пять) лет. Генеральный директор осуществляет текущее руководство деятельностью аудиторской организации и в рамках такого руководства решает все вопросы деятельности, за исключением отнесенных Уставом к компетенции Общего собрания.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Описание системы внутреннего контроля качества аудиторской организации, включая заявление исполнительного органа об эффективности ее функционирования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</w:t>
            </w:r>
            <w:proofErr w:type="spellEnd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утверждены Правила, устанавливающие систему контроля качества услуг (заданий) с целью обеспечения разумной уверенности в том, что аудиторская организация и ее работники проводят аудит и оказывают сопутствующие аудиту услуги в соответствии с требованиями законодательных и иных нормативных правовых актов Российской Федерации, Международными стандартами аудита, внутренними правилами (стандартами) аудиторской деятельности.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 xml:space="preserve">Система внутреннего контроля качества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</w:t>
            </w:r>
            <w:proofErr w:type="spellEnd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устанавливает принципы и процедуры в отношении следующих элементов: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а) обязанности руководства аудиторской организации по обеспечению качества услуг, оказываемых аудиторской организацией;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б) этические требования;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в) принятие на обслуживание нового клиента и продолжение сотрудничества;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г) кадровая работа;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д) выполнение задания;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е) мониторинг.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Принципы независимости компании определяют требования в отношении независимости работников аудиторской организации; выявление и оценку угроз независимости, а также определяют действия для устранения таких угроз или сведения их до приемлемого уровня.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Принятие на обслуживание нового клиента и продолжение сотрудничества определяется анализом и оценкой информации о деятельности клиента и оценкой возможностей, профессиональной компетентности, временных рамок и ресурсов аудиторской организации для одобрения вопросов сотрудничества.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Кадровая политика компании направлена на обеспечение компании кадровым составом, владеющим необходимыми знаниями, опытом, соблюдающим этические принципы, способным выполнять задания в соответствии с Международными стандартами аудита и требованиями нормативных правовых актов Российской Федерации. Развитие навыков и профессиональной компетентности работников осуществляется посредством: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а) профессионального образования;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б) постоянного профессионального обучения, в том числе проведением семинаров и тренингов;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в) приобретения опыта в процессе работы;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г) обучения менее опытных специалистов более опытными, в том числе внутри аудиторской группы.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Контроль качества выполнения заданий по аудиту определяет: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1) надзор за выполнением задания - осуществляется руководителем аудиторской проверки и включает: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- наблюдение за ходом выполнения задания по аудиту;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- оценку навыков и профессиональной компетентности каждого участника аудиторской группы, наличия у него времени, достаточного для выполнения задания по аудиту, понимания данных ему инструкций, а также соответствия его работы запланированному подходу;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- обсуждение значимых вопросов, возникающих в ходе выполнения задания по аудиту, оценку их значимости и, в случае необходимости, соответствующее изменение запланированного подхода;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2) контроль качества выполнения задания – проводится одним из ведущих </w:t>
            </w:r>
            <w:proofErr w:type="gramStart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специалистов  организации</w:t>
            </w:r>
            <w:proofErr w:type="gramEnd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для оценки значимых суждений и выводов аудиторской группы, сформированные по результатам аудита, оценки качества рабочих документов и полноты аудиторских доказательств;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3) мониторинг завершенных заданий по аудиту – проводится ежегодно комиссией по контролю качества, утверждаемой генеральным директором, и осуществляется с целью достижения разумной уверенности в том, что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система контроля качества функционирует в компании эффективно.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Руководство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</w:t>
            </w:r>
            <w:proofErr w:type="spellEnd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несет ответственность за разработку, внедрение, мониторинг и обеспечение соблюдения на постоянной основе правил и процедур обеспечения качества предоставляемых аудиторских услуг, сопутствующих аудиту и прочих связанных с аудиторской деятельностью услуг, основанных на принципах независимости и профессиональной этики аудиторов.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Дата, по состоянию на которую проведена последняя по времени внешняя проверка качества работы аудиторской организации, и наименование органа (организации), проводившего данную проверку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1204EE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Проверки контроля качества СРО АСС проводятся один раз в пять лет.  </w:t>
            </w:r>
            <w:r w:rsidR="00F508A3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Организация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вступила в СРО АСС в марте 2020 года</w:t>
            </w:r>
            <w:r w:rsidR="00F508A3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, в связи с чем плановые проверки контроля качества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не проводились.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1204EE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Наименование всех организаций, предусмотренных частью 3 статьи 5 Федерального закона «Об аудиторской деятельности», в отношении бухгалтерской (финансовой) отчетности которых</w:t>
            </w:r>
            <w:r w:rsidR="001204EE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аудиторской организацией в 2020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году был проведен обязательный аудит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1204EE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Обязательный аудит бухгалтерской (финансовой) отчетности организаций, предусмотренных частью 3 статьи 5 Федерального закона «Об аудиторской деятельности»,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</w:t>
            </w:r>
            <w:proofErr w:type="spellEnd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в 20</w:t>
            </w:r>
            <w:r w:rsidR="001204EE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20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году не проводился.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Заявление исполнительного органа аудиторской организации  о мерах, принимаемых аудиторской организацией для обеспечения своей независимости, включая подтверждение факта проведения внутренней проверки соблюдения независимости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Генеральный директор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</w:t>
            </w:r>
            <w:proofErr w:type="spellEnd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подтверждает, что меры, принимаемые аудиторской организацией для обеспечения своей независимости на применении Кодекса профессиональной этики аудиторов и Правил независимости аудиторов и аудиторских организаций, обеспечивают: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а) личную независимость сотрудников;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б) обучение сотрудников по вопросам независимости и подтверждение независимости;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в) выявление угроз нарушения независимости, меры, предпринятые или предполагаемые аудиторской организацией для снижения и/или профилактики риска дальнейших нарушений.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Внутренние проверки соблюдения условий независимости аудиторов и аудиторской организации, документирование результатов тестирования проводится при принятии клиента на обслуживание, продолжении сотрудничества с имеющимися клиентами, в ходе выполнения аудиторских заданий, контроля качества оказываемых аудиторских услуг, обзорной проверки качества, мониторинга завершенных аудиторских заданий.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Заявление исполнительного органа аудиторской организации об исполнении аудиторами аудиторской организации требования о ежегодном обучении по программам повышения квалификации, установленного частью 9 статьи 11 Федерального закона «Об аудиторской деятельности»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Во исполнение требований части 9 статьи 11 Федерального закона «Об аудиторской деятельности» все аттестованные аудиторы - работники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</w:t>
            </w:r>
            <w:proofErr w:type="spellEnd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- проходят обучение по программам повышения квалификации, утверждаемым саморегулируемой организацией аудиторов, членами которой они являются, ежегодно в объеме не менее 40 часов.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Сведения о принятой в аудиторской организации системе вознаграждения руководителей аудиторских групп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br/>
              <w:t>(в том числе основные факторы, оказывающие влияние на размер вознаграждения)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Руководство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</w:t>
            </w:r>
            <w:proofErr w:type="spellEnd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поощряет высококачественную работу сотрудников, проводит оценку результатов индивидуальной работы и уровня профессиональной компетентности работников, исходя из качества выполнения работы.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При этом учитываются положительные отзывы клиентов, результаты контроля качества отчетов аудитора, качества рабочих документов и полноты аудиторских доказательств.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Процедуры, применяемые в аудиторской организации в отношении оценки выполненной 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работы, оплаты и повышения в должности (включая систему поощрения) работников, направлены на закрепление приверженности аудиторской организации качеству оказываемых услуг.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lastRenderedPageBreak/>
              <w:t>Описание принимаемых аудиторской организацией мер по обеспечению ротации старшего персонала в составе аудиторской группы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 соответствии с Международным стандартом контроля качества (МСКК) 1 «Контроль качества в аудиторских организациях, проводящих аудит и обзорные проверки финансовой отчетности, а также выполняющих прочие задания, обеспечивающие уверенность, и задания по оказанию сопутствующих услуг» в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</w:t>
            </w:r>
            <w:proofErr w:type="spellEnd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разработаны принципы и процедуры, обеспечивающие периодическую (не реже одного раза в семь лет) ротацию работников, осуществляющих руководство аудитом бухгалтерской отчетности одного и того же общественно значимого хозяйствующего субъекта.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Большое внимание уделяется процедурам, позволяющим своевременно распознать возникшую угрозу «привычности», требующую принятия соответствующих мер безопасности для ее сведения до приемлемого уровня в случаях, когда одни и те же работники назначаются в течение длительного времени на одно и то же задание, обеспечивающее уверенность.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</w:tc>
      </w:tr>
      <w:tr w:rsidR="00CF6174" w:rsidRPr="00CF6174" w:rsidTr="00CF6174">
        <w:tc>
          <w:tcPr>
            <w:tcW w:w="4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1204EE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Сведения о выручке аудиторской организации за 20</w:t>
            </w:r>
            <w:r w:rsidR="001204EE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20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год</w:t>
            </w:r>
            <w:r w:rsidRPr="00CF6174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Выручка ООО </w:t>
            </w:r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Веритас</w:t>
            </w:r>
            <w:proofErr w:type="spellEnd"/>
            <w:r w:rsidR="001305FF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Консалтинг»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за 20</w:t>
            </w:r>
            <w:r w:rsidR="001204EE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20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 год составила </w:t>
            </w:r>
            <w:r w:rsidR="00B13A2C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3 840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,0 тыс. руб., в том числе от: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а) проведения обязательного аудита бухгалтерской (финансовой) отчетности – </w:t>
            </w:r>
            <w:r w:rsidR="00B13A2C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240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,0 тыс. </w:t>
            </w:r>
            <w:r w:rsidR="00CF6174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р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уб.;</w:t>
            </w:r>
          </w:p>
          <w:p w:rsidR="000659D0" w:rsidRPr="00CF6174" w:rsidRDefault="000659D0" w:rsidP="000659D0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  <w:t> </w:t>
            </w:r>
          </w:p>
          <w:p w:rsidR="000659D0" w:rsidRPr="00CF6174" w:rsidRDefault="000659D0" w:rsidP="00791CE1">
            <w:pPr>
              <w:spacing w:after="120" w:line="312" w:lineRule="atLeast"/>
              <w:rPr>
                <w:rFonts w:ascii="Trebuchet MS" w:eastAsia="Times New Roman" w:hAnsi="Trebuchet MS" w:cs="Times New Roman"/>
                <w:sz w:val="21"/>
                <w:szCs w:val="21"/>
                <w:lang w:eastAsia="ru-RU"/>
              </w:rPr>
            </w:pP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б) Прочие связанные с аудиторской деятельностью услуги</w:t>
            </w:r>
            <w:r w:rsidR="000B1470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, оказанные прочим организациям</w:t>
            </w:r>
            <w:bookmarkStart w:id="0" w:name="_GoBack"/>
            <w:bookmarkEnd w:id="0"/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 xml:space="preserve"> — </w:t>
            </w:r>
            <w:r w:rsidR="00791CE1"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3 600</w:t>
            </w:r>
            <w:r w:rsidRPr="00CF617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,0 тыс. руб.</w:t>
            </w:r>
          </w:p>
        </w:tc>
      </w:tr>
    </w:tbl>
    <w:p w:rsidR="000659D0" w:rsidRPr="00CF6174" w:rsidRDefault="000659D0" w:rsidP="000659D0">
      <w:pPr>
        <w:shd w:val="clear" w:color="auto" w:fill="EEF9F9"/>
        <w:spacing w:after="120" w:line="312" w:lineRule="atLeast"/>
        <w:rPr>
          <w:rFonts w:ascii="Trebuchet MS" w:eastAsia="Times New Roman" w:hAnsi="Trebuchet MS" w:cs="Times New Roman"/>
          <w:color w:val="0070C0"/>
          <w:sz w:val="21"/>
          <w:szCs w:val="21"/>
          <w:lang w:eastAsia="ru-RU"/>
        </w:rPr>
      </w:pPr>
      <w:r w:rsidRPr="00CF6174">
        <w:rPr>
          <w:rFonts w:ascii="Trebuchet MS" w:eastAsia="Times New Roman" w:hAnsi="Trebuchet MS" w:cs="Times New Roman"/>
          <w:color w:val="0070C0"/>
          <w:sz w:val="21"/>
          <w:szCs w:val="21"/>
          <w:lang w:eastAsia="ru-RU"/>
        </w:rPr>
        <w:t> </w:t>
      </w:r>
    </w:p>
    <w:p w:rsidR="00846938" w:rsidRDefault="00846938"/>
    <w:sectPr w:rsidR="00846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9D0"/>
    <w:rsid w:val="000659D0"/>
    <w:rsid w:val="000B1470"/>
    <w:rsid w:val="001204EE"/>
    <w:rsid w:val="001305FF"/>
    <w:rsid w:val="001C14F6"/>
    <w:rsid w:val="00357055"/>
    <w:rsid w:val="004D6976"/>
    <w:rsid w:val="00791CE1"/>
    <w:rsid w:val="00846938"/>
    <w:rsid w:val="00B13A2C"/>
    <w:rsid w:val="00CF6174"/>
    <w:rsid w:val="00F5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0D14D"/>
  <w15:chartTrackingRefBased/>
  <w15:docId w15:val="{76468AC8-0CCF-45D9-A7CB-7FB235B50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0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12414</TotalTime>
  <Pages>8</Pages>
  <Words>1634</Words>
  <Characters>9320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but-8</dc:creator>
  <cp:keywords/>
  <dc:description/>
  <cp:lastModifiedBy>but-8</cp:lastModifiedBy>
  <cp:revision>4</cp:revision>
  <dcterms:created xsi:type="dcterms:W3CDTF">2021-12-07T09:10:00Z</dcterms:created>
  <dcterms:modified xsi:type="dcterms:W3CDTF">2022-01-11T09:44:00Z</dcterms:modified>
</cp:coreProperties>
</file>